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C6" w:rsidRPr="006016C6" w:rsidRDefault="006016C6" w:rsidP="006016C6">
      <w:pPr>
        <w:tabs>
          <w:tab w:val="left" w:pos="7650"/>
        </w:tabs>
        <w:spacing w:before="240"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Moldavian monasteries, fort</w:t>
      </w:r>
      <w:r>
        <w:rPr>
          <w:rFonts w:ascii="Times New Roman" w:eastAsia="SimSun" w:hAnsi="Times New Roman" w:cs="Times New Roman"/>
          <w:b/>
          <w:sz w:val="24"/>
          <w:lang w:val="en-GB" w:eastAsia="zh-CN"/>
        </w:rPr>
        <w:t>ified churches and Danube Delta</w:t>
      </w:r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1</w:t>
      </w:r>
      <w:r w:rsidRPr="006016C6">
        <w:rPr>
          <w:rFonts w:ascii="Times New Roman" w:eastAsia="SimSun" w:hAnsi="Times New Roman" w:cs="Times New Roman"/>
          <w:b/>
          <w:sz w:val="24"/>
          <w:vertAlign w:val="superscript"/>
          <w:lang w:val="en-GB" w:eastAsia="zh-CN"/>
        </w:rPr>
        <w:t>st</w:t>
      </w: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day: the Home– Bucharest</w:t>
      </w:r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proofErr w:type="gram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Arrival at the airport in Bucharest, tour through the centre of Bucharest, visiting the main attractions of this beautiful capital.</w:t>
      </w:r>
      <w:proofErr w:type="gramEnd"/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2</w:t>
      </w:r>
      <w:r w:rsidRPr="006016C6">
        <w:rPr>
          <w:rFonts w:ascii="Times New Roman" w:eastAsia="SimSun" w:hAnsi="Times New Roman" w:cs="Times New Roman"/>
          <w:b/>
          <w:sz w:val="24"/>
          <w:vertAlign w:val="superscript"/>
          <w:lang w:val="en-GB" w:eastAsia="zh-CN"/>
        </w:rPr>
        <w:t>nd</w:t>
      </w: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day: Bucharest –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Sinaia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–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Predeal</w:t>
      </w:r>
      <w:proofErr w:type="spellEnd"/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The morning will be free for sightseeing the old centre of Bucharest on your own. In the afternoon we’ll visit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Peleș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 Castle, which was built as a summer retreat for the Romanian Royal Family (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Hohenzoller-Sigmaringen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).</w:t>
      </w:r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3</w:t>
      </w:r>
      <w:r w:rsidRPr="006016C6">
        <w:rPr>
          <w:rFonts w:ascii="Times New Roman" w:eastAsia="SimSun" w:hAnsi="Times New Roman" w:cs="Times New Roman"/>
          <w:b/>
          <w:sz w:val="24"/>
          <w:vertAlign w:val="superscript"/>
          <w:lang w:val="en-GB" w:eastAsia="zh-CN"/>
        </w:rPr>
        <w:t>rd</w:t>
      </w: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day: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Predeal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–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Brașov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–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Sighișoara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–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Mediaș</w:t>
      </w:r>
      <w:proofErr w:type="spellEnd"/>
    </w:p>
    <w:p w:rsid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In the morning we’ll visit the Black Church in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Brașov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. In the afternoon we’ll visit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Sighișoara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. Here we’ll visit the bell tower, the Church on the Hill and the famous birth house of the Count Dracula. Afterwards we’ll travel to Mediaș.</w:t>
      </w:r>
    </w:p>
    <w:p w:rsid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4</w:t>
      </w:r>
      <w:r w:rsidRPr="006016C6">
        <w:rPr>
          <w:rFonts w:ascii="Times New Roman" w:eastAsia="SimSun" w:hAnsi="Times New Roman" w:cs="Times New Roman"/>
          <w:b/>
          <w:sz w:val="24"/>
          <w:vertAlign w:val="superscript"/>
          <w:lang w:val="en-GB" w:eastAsia="zh-CN"/>
        </w:rPr>
        <w:t>th</w:t>
      </w: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day: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Mediaș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–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Câmpulung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Moldovenesc</w:t>
      </w:r>
      <w:proofErr w:type="spellEnd"/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In the morning we’ll visit St. Margaret’s Church in the old centre of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Mediaș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. We’ll drive through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Târgu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Mureș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 to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Bistrița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. We’ll cross the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Borgo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 pass, leave Transylvania and enter Moldavia.</w:t>
      </w:r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5</w:t>
      </w:r>
      <w:r w:rsidRPr="006016C6">
        <w:rPr>
          <w:rFonts w:ascii="Times New Roman" w:eastAsia="SimSun" w:hAnsi="Times New Roman" w:cs="Times New Roman"/>
          <w:b/>
          <w:sz w:val="24"/>
          <w:vertAlign w:val="superscript"/>
          <w:lang w:val="en-GB" w:eastAsia="zh-CN"/>
        </w:rPr>
        <w:t>th</w:t>
      </w: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day: Monasteries tour: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Câmpulung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Moldovenesc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– Piatra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Neamț</w:t>
      </w:r>
      <w:proofErr w:type="spellEnd"/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In the morning we’ll visit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Moldovița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 Monastery, then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Voroneț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 Monastery. The last monastery which we’ll visit this day is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Humor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 Monastery.</w:t>
      </w:r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6</w:t>
      </w:r>
      <w:r w:rsidRPr="006016C6">
        <w:rPr>
          <w:rFonts w:ascii="Times New Roman" w:eastAsia="SimSun" w:hAnsi="Times New Roman" w:cs="Times New Roman"/>
          <w:b/>
          <w:sz w:val="24"/>
          <w:vertAlign w:val="superscript"/>
          <w:lang w:val="en-GB" w:eastAsia="zh-CN"/>
        </w:rPr>
        <w:t>th</w:t>
      </w: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day: Piatra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Neamț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–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Tulcea</w:t>
      </w:r>
      <w:proofErr w:type="spellEnd"/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In the morning we’ll visit the </w:t>
      </w:r>
      <w:proofErr w:type="spellStart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Mărășești</w:t>
      </w:r>
      <w:proofErr w:type="spellEnd"/>
      <w:r w:rsidRPr="006016C6">
        <w:rPr>
          <w:rFonts w:ascii="Times New Roman" w:eastAsia="SimSun" w:hAnsi="Times New Roman" w:cs="Times New Roman"/>
          <w:sz w:val="24"/>
          <w:lang w:val="en-GB" w:eastAsia="zh-CN"/>
        </w:rPr>
        <w:t xml:space="preserve"> Mausoleum. Afterwards we’ll ride south to the Danube Delta Port.</w:t>
      </w:r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7</w:t>
      </w:r>
      <w:r w:rsidRPr="006016C6">
        <w:rPr>
          <w:rFonts w:ascii="Times New Roman" w:eastAsia="SimSun" w:hAnsi="Times New Roman" w:cs="Times New Roman"/>
          <w:b/>
          <w:sz w:val="24"/>
          <w:vertAlign w:val="superscript"/>
          <w:lang w:val="en-GB" w:eastAsia="zh-CN"/>
        </w:rPr>
        <w:t>th</w:t>
      </w: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day: </w:t>
      </w:r>
      <w:proofErr w:type="spellStart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Tulcea</w:t>
      </w:r>
      <w:proofErr w:type="spellEnd"/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– Bucharest</w:t>
      </w:r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In the morning we’ll take a boat trip through the Danube Delta. We’ll explore the beautiful Danube Delta nature. Afterwards we’ll travel back to Bucharest.</w:t>
      </w:r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b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8</w:t>
      </w:r>
      <w:r w:rsidRPr="006016C6">
        <w:rPr>
          <w:rFonts w:ascii="Times New Roman" w:eastAsia="SimSun" w:hAnsi="Times New Roman" w:cs="Times New Roman"/>
          <w:b/>
          <w:sz w:val="24"/>
          <w:vertAlign w:val="superscript"/>
          <w:lang w:val="en-GB" w:eastAsia="zh-CN"/>
        </w:rPr>
        <w:t>th</w:t>
      </w: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 xml:space="preserve"> day: Return trip</w:t>
      </w:r>
    </w:p>
    <w:p w:rsidR="006016C6" w:rsidRPr="006016C6" w:rsidRDefault="006016C6" w:rsidP="006016C6">
      <w:pPr>
        <w:tabs>
          <w:tab w:val="left" w:pos="7650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Airport transfer and flight back home.</w:t>
      </w:r>
    </w:p>
    <w:p w:rsidR="006016C6" w:rsidRPr="006016C6" w:rsidRDefault="006016C6" w:rsidP="006016C6">
      <w:pPr>
        <w:tabs>
          <w:tab w:val="left" w:pos="765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b/>
          <w:sz w:val="24"/>
          <w:lang w:val="en-GB" w:eastAsia="zh-CN"/>
        </w:rPr>
        <w:t>Including:</w:t>
      </w:r>
    </w:p>
    <w:p w:rsidR="006016C6" w:rsidRPr="006016C6" w:rsidRDefault="006016C6" w:rsidP="006016C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7 overnight stays in 3 and 4 star hotels</w:t>
      </w:r>
    </w:p>
    <w:p w:rsidR="006016C6" w:rsidRPr="006016C6" w:rsidRDefault="006016C6" w:rsidP="006016C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Tour guide</w:t>
      </w:r>
    </w:p>
    <w:p w:rsidR="006016C6" w:rsidRPr="006016C6" w:rsidRDefault="006016C6" w:rsidP="006016C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Half board</w:t>
      </w:r>
    </w:p>
    <w:p w:rsidR="006016C6" w:rsidRPr="006016C6" w:rsidRDefault="006016C6" w:rsidP="006016C6">
      <w:pPr>
        <w:numPr>
          <w:ilvl w:val="0"/>
          <w:numId w:val="1"/>
        </w:numPr>
        <w:tabs>
          <w:tab w:val="left" w:pos="7650"/>
        </w:tabs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Boat trip on the Danube Delta</w:t>
      </w:r>
    </w:p>
    <w:p w:rsidR="006016C6" w:rsidRPr="006016C6" w:rsidRDefault="006016C6" w:rsidP="006016C6">
      <w:pPr>
        <w:numPr>
          <w:ilvl w:val="0"/>
          <w:numId w:val="1"/>
        </w:numPr>
        <w:tabs>
          <w:tab w:val="left" w:pos="7650"/>
        </w:tabs>
        <w:spacing w:after="120" w:line="240" w:lineRule="auto"/>
        <w:contextualSpacing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Traditional dinner with a folklore show</w:t>
      </w:r>
    </w:p>
    <w:p w:rsidR="006016C6" w:rsidRPr="006016C6" w:rsidRDefault="006016C6" w:rsidP="006016C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SimSun" w:hAnsi="Times New Roman" w:cs="Times New Roman"/>
          <w:sz w:val="24"/>
          <w:lang w:val="en-GB" w:eastAsia="zh-CN"/>
        </w:rPr>
      </w:pPr>
      <w:r w:rsidRPr="006016C6">
        <w:rPr>
          <w:rFonts w:ascii="Times New Roman" w:eastAsia="SimSun" w:hAnsi="Times New Roman" w:cs="Times New Roman"/>
          <w:sz w:val="24"/>
          <w:lang w:val="en-GB" w:eastAsia="zh-CN"/>
        </w:rPr>
        <w:t>Travel in a modern coach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1560"/>
        <w:gridCol w:w="1473"/>
        <w:gridCol w:w="1473"/>
        <w:gridCol w:w="1474"/>
        <w:gridCol w:w="1474"/>
        <w:gridCol w:w="1474"/>
      </w:tblGrid>
      <w:tr w:rsidR="006016C6" w:rsidRPr="006016C6" w:rsidTr="0049282D"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 xml:space="preserve"> number of people</w:t>
            </w:r>
          </w:p>
        </w:tc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20</w:t>
            </w:r>
          </w:p>
        </w:tc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25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30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35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40</w:t>
            </w:r>
          </w:p>
        </w:tc>
      </w:tr>
      <w:tr w:rsidR="006016C6" w:rsidRPr="006016C6" w:rsidTr="0049282D"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Price per person (double room/HB</w:t>
            </w: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)</w:t>
            </w:r>
          </w:p>
        </w:tc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420 €</w:t>
            </w:r>
          </w:p>
        </w:tc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385 €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360 €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345 €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330 €</w:t>
            </w:r>
          </w:p>
        </w:tc>
      </w:tr>
      <w:tr w:rsidR="006016C6" w:rsidRPr="006016C6" w:rsidTr="0049282D"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val="en-GB"/>
              </w:rPr>
              <w:t>Sglroom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 suppl</w:t>
            </w:r>
            <w:bookmarkStart w:id="0" w:name="_GoBack"/>
            <w:bookmarkEnd w:id="0"/>
          </w:p>
        </w:tc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110 €</w:t>
            </w:r>
          </w:p>
        </w:tc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110 €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110 €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110 €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110 €</w:t>
            </w:r>
          </w:p>
        </w:tc>
      </w:tr>
      <w:tr w:rsidR="006016C6" w:rsidRPr="006016C6" w:rsidTr="0049282D"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Entries</w:t>
            </w:r>
          </w:p>
        </w:tc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30 €</w:t>
            </w:r>
          </w:p>
        </w:tc>
        <w:tc>
          <w:tcPr>
            <w:tcW w:w="1660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30 €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30 €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30 €</w:t>
            </w:r>
          </w:p>
        </w:tc>
        <w:tc>
          <w:tcPr>
            <w:tcW w:w="1661" w:type="dxa"/>
          </w:tcPr>
          <w:p w:rsidR="006016C6" w:rsidRPr="006016C6" w:rsidRDefault="006016C6" w:rsidP="006016C6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6016C6">
              <w:rPr>
                <w:rFonts w:ascii="Times New Roman" w:hAnsi="Times New Roman" w:cs="Times New Roman"/>
                <w:sz w:val="20"/>
                <w:lang w:val="en-GB"/>
              </w:rPr>
              <w:t>30 €</w:t>
            </w:r>
          </w:p>
        </w:tc>
      </w:tr>
    </w:tbl>
    <w:p w:rsidR="00B02F25" w:rsidRDefault="00B02F25"/>
    <w:sectPr w:rsidR="00B0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18E1"/>
    <w:multiLevelType w:val="hybridMultilevel"/>
    <w:tmpl w:val="EC10D0B0"/>
    <w:lvl w:ilvl="0" w:tplc="CBE6D25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C6"/>
    <w:rsid w:val="006016C6"/>
    <w:rsid w:val="00B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016C6"/>
    <w:pPr>
      <w:spacing w:after="0" w:line="240" w:lineRule="auto"/>
    </w:pPr>
    <w:rPr>
      <w:rFonts w:eastAsia="SimSun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0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016C6"/>
    <w:pPr>
      <w:spacing w:after="0" w:line="240" w:lineRule="auto"/>
    </w:pPr>
    <w:rPr>
      <w:rFonts w:eastAsia="SimSun"/>
      <w:lang w:val="en-US"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01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2017-10-11T07:48:00Z</dcterms:created>
  <dcterms:modified xsi:type="dcterms:W3CDTF">2017-10-11T07:51:00Z</dcterms:modified>
</cp:coreProperties>
</file>